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>
        <w:rPr>
          <w:rFonts w:ascii="Times New Roman" w:hAnsi="Times New Roman"/>
          <w:sz w:val="28"/>
        </w:rPr>
        <w:t>1</w:t>
      </w:r>
    </w:p>
    <w:p w14:paraId="04000000">
      <w:pPr>
        <w:spacing w:after="0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14:paraId="05000000">
      <w:pPr>
        <w:spacing w:after="0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Главы администрации города Байконур</w:t>
      </w:r>
    </w:p>
    <w:p w14:paraId="06000000">
      <w:pPr>
        <w:spacing w:after="0"/>
        <w:ind w:firstLine="0" w:left="5387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09 февраля 2021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54</w:t>
      </w:r>
    </w:p>
    <w:p w14:paraId="07000000">
      <w:pPr>
        <w:spacing w:after="0"/>
        <w:ind w:firstLine="0" w:left="5387"/>
        <w:outlineLvl w:val="0"/>
        <w:rPr>
          <w:rFonts w:ascii="Times New Roman" w:hAnsi="Times New Roman"/>
          <w:sz w:val="28"/>
        </w:rPr>
      </w:pPr>
    </w:p>
    <w:p w14:paraId="08000000">
      <w:pPr>
        <w:spacing w:after="0"/>
        <w:ind w:firstLine="709" w:left="0"/>
        <w:jc w:val="center"/>
        <w:outlineLvl w:val="1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Положение о комиссии </w:t>
      </w:r>
      <w:r>
        <w:rPr>
          <w:rFonts w:ascii="Times New Roman" w:hAnsi="Times New Roman"/>
          <w:b w:val="1"/>
          <w:sz w:val="28"/>
        </w:rPr>
        <w:t xml:space="preserve">по </w:t>
      </w:r>
      <w:r>
        <w:rPr>
          <w:rFonts w:ascii="Times New Roman" w:hAnsi="Times New Roman"/>
          <w:b w:val="1"/>
          <w:sz w:val="28"/>
        </w:rPr>
        <w:t>согласовани</w:t>
      </w:r>
      <w:r>
        <w:rPr>
          <w:rFonts w:ascii="Times New Roman" w:hAnsi="Times New Roman"/>
          <w:b w:val="1"/>
          <w:sz w:val="28"/>
        </w:rPr>
        <w:t>ю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(одобрению) </w:t>
      </w:r>
      <w:r>
        <w:rPr>
          <w:rFonts w:ascii="Times New Roman" w:hAnsi="Times New Roman"/>
          <w:b w:val="1"/>
          <w:sz w:val="28"/>
        </w:rPr>
        <w:t>сделок государственных</w:t>
      </w:r>
      <w:r>
        <w:rPr>
          <w:rFonts w:ascii="Times New Roman" w:hAnsi="Times New Roman"/>
          <w:b w:val="1"/>
          <w:color w:val="000000"/>
          <w:sz w:val="28"/>
        </w:rPr>
        <w:t xml:space="preserve"> унитарных предприятий</w:t>
      </w:r>
      <w:r>
        <w:rPr>
          <w:rFonts w:ascii="Times New Roman" w:hAnsi="Times New Roman"/>
          <w:b w:val="1"/>
          <w:color w:val="000000"/>
          <w:sz w:val="28"/>
        </w:rPr>
        <w:t xml:space="preserve"> и учреждений</w:t>
      </w:r>
      <w:r>
        <w:rPr>
          <w:rFonts w:ascii="Times New Roman" w:hAnsi="Times New Roman"/>
          <w:b w:val="1"/>
          <w:color w:val="000000"/>
          <w:sz w:val="28"/>
        </w:rPr>
        <w:t xml:space="preserve">, </w:t>
      </w:r>
      <w:r>
        <w:rPr>
          <w:rFonts w:ascii="Times New Roman" w:hAnsi="Times New Roman"/>
          <w:b w:val="1"/>
          <w:sz w:val="28"/>
        </w:rPr>
        <w:t>находящихся в ведении администрации города Байконур</w:t>
      </w:r>
    </w:p>
    <w:p w14:paraId="09000000">
      <w:pPr>
        <w:spacing w:after="0"/>
        <w:ind w:firstLine="709" w:left="0"/>
        <w:jc w:val="center"/>
        <w:outlineLvl w:val="1"/>
        <w:rPr>
          <w:rFonts w:ascii="Times New Roman" w:hAnsi="Times New Roman"/>
          <w:b w:val="1"/>
          <w:color w:val="2D3038"/>
          <w:sz w:val="28"/>
        </w:rPr>
      </w:pPr>
    </w:p>
    <w:p w14:paraId="0A000000">
      <w:pPr>
        <w:numPr>
          <w:ilvl w:val="0"/>
          <w:numId w:val="1"/>
        </w:numPr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Общие положения</w:t>
      </w:r>
    </w:p>
    <w:p w14:paraId="0B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0C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>
        <w:rPr>
          <w:rFonts w:ascii="Times New Roman" w:hAnsi="Times New Roman"/>
          <w:sz w:val="28"/>
        </w:rPr>
        <w:t>Настоящее Положение регламентирует деятельность комиссии по согласованию (одобрению) сделок государственных унитарных предприятий и учреждений, находящихся в ведении администрации города Байконур, а также по согласованию заимствований государственными унитарными предприятиями, находящимися в ведении администрации города Байконур (далее – Комиссия).</w:t>
      </w:r>
    </w:p>
    <w:p w14:paraId="0D000000">
      <w:pPr>
        <w:spacing w:after="0"/>
        <w:ind w:firstLine="709" w:left="0"/>
        <w:jc w:val="both"/>
        <w:rPr>
          <w:rFonts w:ascii="Times New Roman" w:hAnsi="Times New Roman"/>
          <w:color w:val="000000"/>
          <w:sz w:val="28"/>
          <w:highlight w:val="white"/>
        </w:rPr>
      </w:pPr>
      <w:r>
        <w:rPr>
          <w:rFonts w:ascii="Times New Roman" w:hAnsi="Times New Roman"/>
          <w:color w:val="000000"/>
          <w:sz w:val="28"/>
          <w:highlight w:val="white"/>
        </w:rPr>
        <w:t>1.2.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Комиссия является постоянно действующим коллегиальным органом, созданным в целях принятия от имени администрации города Байконур решений, предусмотренных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 xml:space="preserve">Порядком согласования </w:t>
      </w:r>
      <w:r>
        <w:rPr>
          <w:rFonts w:ascii="Times New Roman" w:hAnsi="Times New Roman"/>
          <w:color w:val="000000"/>
          <w:sz w:val="28"/>
          <w:highlight w:val="white"/>
        </w:rPr>
        <w:t xml:space="preserve">(одобрения) </w:t>
      </w:r>
      <w:r>
        <w:rPr>
          <w:rFonts w:ascii="Times New Roman" w:hAnsi="Times New Roman"/>
          <w:color w:val="000000"/>
          <w:sz w:val="28"/>
          <w:highlight w:val="white"/>
        </w:rPr>
        <w:t>сделок государственных унитарных предприятий</w:t>
      </w:r>
      <w:r>
        <w:rPr>
          <w:rFonts w:ascii="Times New Roman" w:hAnsi="Times New Roman"/>
          <w:color w:val="000000"/>
          <w:sz w:val="28"/>
          <w:highlight w:val="white"/>
        </w:rPr>
        <w:t xml:space="preserve"> и учреждений</w:t>
      </w:r>
      <w:r>
        <w:rPr>
          <w:rFonts w:ascii="Times New Roman" w:hAnsi="Times New Roman"/>
          <w:color w:val="000000"/>
          <w:sz w:val="28"/>
          <w:highlight w:val="white"/>
        </w:rPr>
        <w:t xml:space="preserve">, находящихся в ведении администрации города Байконур, утвержденным </w:t>
      </w:r>
      <w:r>
        <w:rPr>
          <w:rFonts w:ascii="Times New Roman" w:hAnsi="Times New Roman"/>
          <w:color w:val="000000"/>
          <w:sz w:val="28"/>
          <w:highlight w:val="white"/>
        </w:rPr>
        <w:t xml:space="preserve">постановлением </w:t>
      </w:r>
      <w:r>
        <w:rPr>
          <w:rFonts w:ascii="Times New Roman" w:hAnsi="Times New Roman"/>
          <w:color w:val="000000"/>
          <w:sz w:val="28"/>
          <w:highlight w:val="white"/>
        </w:rPr>
        <w:t>Глав</w:t>
      </w:r>
      <w:r>
        <w:rPr>
          <w:rFonts w:ascii="Times New Roman" w:hAnsi="Times New Roman"/>
          <w:color w:val="000000"/>
          <w:sz w:val="28"/>
          <w:highlight w:val="white"/>
        </w:rPr>
        <w:t>ы</w:t>
      </w:r>
      <w:r>
        <w:rPr>
          <w:rFonts w:ascii="Times New Roman" w:hAnsi="Times New Roman"/>
          <w:color w:val="000000"/>
          <w:sz w:val="28"/>
          <w:highlight w:val="white"/>
        </w:rPr>
        <w:t xml:space="preserve"> администрации города Байконур (далее </w:t>
      </w:r>
      <w:r>
        <w:rPr>
          <w:rFonts w:ascii="Times New Roman" w:hAnsi="Times New Roman"/>
          <w:color w:val="000000"/>
          <w:sz w:val="28"/>
          <w:highlight w:val="white"/>
        </w:rPr>
        <w:t xml:space="preserve">соответственно </w:t>
      </w:r>
      <w:r>
        <w:rPr>
          <w:rFonts w:ascii="Times New Roman" w:hAnsi="Times New Roman"/>
          <w:color w:val="000000"/>
          <w:sz w:val="28"/>
          <w:highlight w:val="white"/>
        </w:rPr>
        <w:t>–</w:t>
      </w:r>
      <w:r>
        <w:rPr>
          <w:rFonts w:ascii="Times New Roman" w:hAnsi="Times New Roman"/>
          <w:color w:val="000000"/>
          <w:sz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highlight w:val="white"/>
        </w:rPr>
        <w:t>Предприяти</w:t>
      </w:r>
      <w:r>
        <w:rPr>
          <w:rFonts w:ascii="Times New Roman" w:hAnsi="Times New Roman"/>
          <w:color w:val="000000"/>
          <w:sz w:val="28"/>
          <w:highlight w:val="white"/>
        </w:rPr>
        <w:t>я</w:t>
      </w:r>
      <w:r>
        <w:rPr>
          <w:rFonts w:ascii="Times New Roman" w:hAnsi="Times New Roman"/>
          <w:color w:val="000000"/>
          <w:sz w:val="28"/>
          <w:highlight w:val="white"/>
        </w:rPr>
        <w:t xml:space="preserve">, </w:t>
      </w:r>
      <w:r>
        <w:rPr>
          <w:rFonts w:ascii="Times New Roman" w:hAnsi="Times New Roman"/>
          <w:color w:val="000000"/>
          <w:sz w:val="28"/>
          <w:highlight w:val="white"/>
        </w:rPr>
        <w:t>Учреждени</w:t>
      </w:r>
      <w:r>
        <w:rPr>
          <w:rFonts w:ascii="Times New Roman" w:hAnsi="Times New Roman"/>
          <w:color w:val="000000"/>
          <w:sz w:val="28"/>
          <w:highlight w:val="white"/>
        </w:rPr>
        <w:t>я</w:t>
      </w:r>
      <w:r>
        <w:rPr>
          <w:rFonts w:ascii="Times New Roman" w:hAnsi="Times New Roman"/>
          <w:color w:val="000000"/>
          <w:sz w:val="28"/>
          <w:highlight w:val="white"/>
        </w:rPr>
        <w:t xml:space="preserve">, </w:t>
      </w:r>
      <w:r>
        <w:rPr>
          <w:rFonts w:ascii="Times New Roman" w:hAnsi="Times New Roman"/>
          <w:color w:val="000000"/>
          <w:sz w:val="28"/>
          <w:highlight w:val="white"/>
        </w:rPr>
        <w:t>Порядок)</w:t>
      </w:r>
      <w:r>
        <w:rPr>
          <w:rFonts w:ascii="Times New Roman" w:hAnsi="Times New Roman"/>
          <w:color w:val="000000"/>
          <w:sz w:val="28"/>
          <w:highlight w:val="white"/>
        </w:rPr>
        <w:t>.</w:t>
      </w:r>
    </w:p>
    <w:p w14:paraId="0E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ерсональный с</w:t>
      </w:r>
      <w:r>
        <w:rPr>
          <w:rFonts w:ascii="Times New Roman" w:hAnsi="Times New Roman"/>
          <w:sz w:val="28"/>
        </w:rPr>
        <w:t xml:space="preserve">остав </w:t>
      </w:r>
      <w:r>
        <w:rPr>
          <w:rFonts w:ascii="Times New Roman" w:hAnsi="Times New Roman"/>
          <w:sz w:val="28"/>
        </w:rPr>
        <w:t xml:space="preserve">Комиссии </w:t>
      </w:r>
      <w:r>
        <w:rPr>
          <w:rFonts w:ascii="Times New Roman" w:hAnsi="Times New Roman"/>
          <w:sz w:val="28"/>
        </w:rPr>
        <w:t>утвержда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тся </w:t>
      </w:r>
      <w:r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Главы администрации города Байконур.</w:t>
      </w:r>
    </w:p>
    <w:p w14:paraId="0F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Комиссия в своей деятельности руководствуется действующим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междуна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одными договорами и соглашениями</w:t>
      </w:r>
      <w:r>
        <w:rPr>
          <w:rFonts w:ascii="Times New Roman" w:hAnsi="Times New Roman"/>
          <w:sz w:val="28"/>
        </w:rPr>
        <w:t xml:space="preserve"> по комплексу «Байконур», </w:t>
      </w:r>
      <w:r>
        <w:rPr>
          <w:rFonts w:ascii="Times New Roman" w:hAnsi="Times New Roman"/>
          <w:sz w:val="28"/>
        </w:rPr>
        <w:t>законодательством Российской Федерации, Порядком, а также настоящим Положением.</w:t>
      </w:r>
    </w:p>
    <w:p w14:paraId="10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11000000">
      <w:pPr>
        <w:spacing w:after="0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2</w:t>
      </w:r>
      <w:r>
        <w:rPr>
          <w:rFonts w:ascii="Times New Roman" w:hAnsi="Times New Roman"/>
          <w:b w:val="1"/>
          <w:sz w:val="28"/>
        </w:rPr>
        <w:t xml:space="preserve">. </w:t>
      </w:r>
      <w:r>
        <w:rPr>
          <w:rFonts w:ascii="Times New Roman" w:hAnsi="Times New Roman"/>
          <w:b w:val="1"/>
          <w:sz w:val="28"/>
        </w:rPr>
        <w:t>Основные задачи Комиссии</w:t>
      </w:r>
    </w:p>
    <w:p w14:paraId="12000000">
      <w:pPr>
        <w:spacing w:after="0"/>
        <w:ind w:firstLine="709" w:left="0"/>
        <w:jc w:val="center"/>
        <w:rPr>
          <w:rFonts w:ascii="Times New Roman" w:hAnsi="Times New Roman"/>
          <w:sz w:val="28"/>
        </w:rPr>
      </w:pPr>
    </w:p>
    <w:p w14:paraId="13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Основными задачами Комиссии являются:</w:t>
      </w:r>
    </w:p>
    <w:p w14:paraId="14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Обеспечение своевременного и качественного рассмотрения заявлений и документов, представленных Предприятиями </w:t>
      </w:r>
      <w:r>
        <w:rPr>
          <w:rFonts w:ascii="Times New Roman" w:hAnsi="Times New Roman"/>
          <w:sz w:val="28"/>
        </w:rPr>
        <w:t xml:space="preserve">и Учреждениями </w:t>
      </w:r>
      <w:r>
        <w:rPr>
          <w:rFonts w:ascii="Times New Roman" w:hAnsi="Times New Roman"/>
          <w:sz w:val="28"/>
        </w:rPr>
        <w:t xml:space="preserve">в Комиссию, и принятие </w:t>
      </w:r>
      <w:r>
        <w:rPr>
          <w:rFonts w:ascii="Times New Roman" w:hAnsi="Times New Roman"/>
          <w:sz w:val="28"/>
        </w:rPr>
        <w:t xml:space="preserve">соответствующих </w:t>
      </w:r>
      <w:r>
        <w:rPr>
          <w:rFonts w:ascii="Times New Roman" w:hAnsi="Times New Roman"/>
          <w:sz w:val="28"/>
        </w:rPr>
        <w:t>решений.</w:t>
      </w:r>
    </w:p>
    <w:p w14:paraId="15000000">
      <w:pPr>
        <w:spacing w:after="0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 xml:space="preserve">2.2. </w:t>
      </w:r>
      <w:r>
        <w:rPr>
          <w:rFonts w:ascii="Times New Roman" w:hAnsi="Times New Roman"/>
          <w:sz w:val="28"/>
        </w:rPr>
        <w:t>Внесение на рассмотрение Главы администрации города Байконур, первого заместителя Главы администрации города Байконур</w:t>
      </w:r>
      <w:r>
        <w:rPr>
          <w:rFonts w:ascii="Times New Roman" w:hAnsi="Times New Roman"/>
          <w:sz w:val="28"/>
        </w:rPr>
        <w:t>, заместителей Главы администрации города Байконур, курирующих Предприятия и Учреждения,</w:t>
      </w:r>
      <w:r>
        <w:rPr>
          <w:rFonts w:ascii="Times New Roman" w:hAnsi="Times New Roman"/>
          <w:sz w:val="28"/>
        </w:rPr>
        <w:t xml:space="preserve"> предложений по повышению эффективности деятельности Предприятий и Учреждений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16000000">
      <w:pPr>
        <w:keepNext w:val="1"/>
        <w:keepLines w:val="1"/>
        <w:numPr>
          <w:ilvl w:val="0"/>
          <w:numId w:val="2"/>
        </w:numPr>
        <w:tabs>
          <w:tab w:leader="none" w:pos="426" w:val="left"/>
        </w:tabs>
        <w:spacing w:after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Права Комиссии</w:t>
      </w:r>
    </w:p>
    <w:p w14:paraId="17000000">
      <w:pPr>
        <w:keepNext w:val="1"/>
        <w:keepLines w:val="1"/>
        <w:spacing w:after="0"/>
        <w:ind w:firstLine="709" w:left="0"/>
        <w:rPr>
          <w:rFonts w:ascii="Times New Roman" w:hAnsi="Times New Roman"/>
          <w:sz w:val="28"/>
        </w:rPr>
      </w:pPr>
    </w:p>
    <w:p w14:paraId="18000000">
      <w:pPr>
        <w:keepNext w:val="1"/>
        <w:keepLines w:val="1"/>
        <w:spacing w:after="0"/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пределах своей компетенции Комиссия имеет право:</w:t>
      </w:r>
    </w:p>
    <w:p w14:paraId="19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Запрашивать и получать от Предприятий</w:t>
      </w:r>
      <w:r>
        <w:rPr>
          <w:rFonts w:ascii="Times New Roman" w:hAnsi="Times New Roman"/>
          <w:sz w:val="28"/>
        </w:rPr>
        <w:t xml:space="preserve">, Учреждений </w:t>
      </w:r>
      <w:r>
        <w:rPr>
          <w:rFonts w:ascii="Times New Roman" w:hAnsi="Times New Roman"/>
          <w:sz w:val="28"/>
        </w:rPr>
        <w:t>и структурных подразделений администрации города Байконур необходимые для работы Комиссии материалы и документы</w:t>
      </w:r>
      <w:r>
        <w:rPr>
          <w:rFonts w:ascii="Times New Roman" w:hAnsi="Times New Roman"/>
          <w:sz w:val="28"/>
        </w:rPr>
        <w:t>, установленные Порядком</w:t>
      </w:r>
      <w:r>
        <w:rPr>
          <w:rFonts w:ascii="Times New Roman" w:hAnsi="Times New Roman"/>
          <w:sz w:val="28"/>
        </w:rPr>
        <w:t>.</w:t>
      </w:r>
    </w:p>
    <w:p w14:paraId="1A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 В случае необходимости привлекать к работе Комиссии специалистов-экспертов по вопросам компетенции Комиссии.</w:t>
      </w:r>
    </w:p>
    <w:p w14:paraId="1B000000">
      <w:pPr>
        <w:spacing w:after="0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3.3. Направлять Предприятиям и Учреждениям предложения по повышению эффективности деятельности по результатам рассмотрения заявлений и документов, представленных в Комиссию.</w:t>
      </w:r>
    </w:p>
    <w:p w14:paraId="1C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1D000000">
      <w:pPr>
        <w:numPr>
          <w:ilvl w:val="0"/>
          <w:numId w:val="2"/>
        </w:numPr>
        <w:spacing w:after="0"/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Организация деятельности и порядок работы Комиссии</w:t>
      </w:r>
    </w:p>
    <w:p w14:paraId="1E000000">
      <w:pPr>
        <w:spacing w:after="0"/>
        <w:ind w:firstLine="709" w:left="0"/>
        <w:jc w:val="center"/>
        <w:rPr>
          <w:rFonts w:ascii="Times New Roman" w:hAnsi="Times New Roman"/>
          <w:sz w:val="28"/>
        </w:rPr>
      </w:pPr>
    </w:p>
    <w:p w14:paraId="1F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4.1. </w:t>
      </w:r>
      <w:r>
        <w:rPr>
          <w:rFonts w:ascii="Times New Roman" w:hAnsi="Times New Roman"/>
          <w:sz w:val="28"/>
        </w:rPr>
        <w:t xml:space="preserve">Комиссия формируется в составе председателя, </w:t>
      </w:r>
      <w:r>
        <w:rPr>
          <w:rFonts w:ascii="Times New Roman" w:hAnsi="Times New Roman"/>
          <w:sz w:val="28"/>
        </w:rPr>
        <w:t>двух</w:t>
      </w:r>
      <w:r>
        <w:rPr>
          <w:rFonts w:ascii="Times New Roman" w:hAnsi="Times New Roman"/>
          <w:sz w:val="28"/>
        </w:rPr>
        <w:t xml:space="preserve"> заместител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председателя</w:t>
      </w:r>
      <w:r>
        <w:rPr>
          <w:rFonts w:ascii="Times New Roman" w:hAnsi="Times New Roman"/>
          <w:sz w:val="28"/>
        </w:rPr>
        <w:t xml:space="preserve">, секретаря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членов Комиссии.</w:t>
      </w:r>
    </w:p>
    <w:p w14:paraId="20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Формой деятельности Комиссии являются заседания. Заседание Комиссии проводит председатель Комиссии, в случае его отсутствия один из заместителей председателя Комиссии.</w:t>
      </w:r>
    </w:p>
    <w:p w14:paraId="21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4.3</w:t>
      </w:r>
      <w:r>
        <w:rPr>
          <w:rFonts w:ascii="Times New Roman" w:hAnsi="Times New Roman"/>
          <w:sz w:val="28"/>
        </w:rPr>
        <w:t>. Правом голоса наделены председатель</w:t>
      </w:r>
      <w:r>
        <w:rPr>
          <w:rFonts w:ascii="Times New Roman" w:hAnsi="Times New Roman"/>
          <w:sz w:val="28"/>
        </w:rPr>
        <w:t>, заместители п</w:t>
      </w:r>
      <w:r>
        <w:rPr>
          <w:rFonts w:ascii="Times New Roman" w:hAnsi="Times New Roman"/>
          <w:sz w:val="28"/>
        </w:rPr>
        <w:t>редседателя и члены Комиссии.</w:t>
      </w:r>
    </w:p>
    <w:p w14:paraId="22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 Присутствие на заседании Комиссии ее ч</w:t>
      </w:r>
      <w:r>
        <w:rPr>
          <w:rFonts w:ascii="Times New Roman" w:hAnsi="Times New Roman"/>
          <w:sz w:val="28"/>
        </w:rPr>
        <w:t xml:space="preserve">ленов </w:t>
      </w:r>
      <w:r>
        <w:rPr>
          <w:rFonts w:ascii="Times New Roman" w:hAnsi="Times New Roman"/>
          <w:sz w:val="28"/>
        </w:rPr>
        <w:t>обязательно</w:t>
      </w:r>
      <w:r>
        <w:rPr>
          <w:rFonts w:ascii="Times New Roman" w:hAnsi="Times New Roman"/>
          <w:sz w:val="28"/>
        </w:rPr>
        <w:t>.</w:t>
      </w:r>
    </w:p>
    <w:p w14:paraId="23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4.4.1. В случае если исполнение обязанностей по замещаемой членом Комиссии должности возложено в установленном порядке на иное должностное лицо, участие в заседании Комиссии принимает это должностное лицо (далее – лицо, исполняющее обязанности члена Комиссии). </w:t>
      </w:r>
      <w:r>
        <w:rPr>
          <w:rFonts w:ascii="Times New Roman" w:hAnsi="Times New Roman"/>
          <w:sz w:val="28"/>
        </w:rPr>
        <w:t xml:space="preserve">Обязанности секретаря Комиссии в его отсутствие исполняет лицо, на которое возложено исполнение обязанностей </w:t>
      </w:r>
      <w:r>
        <w:rPr>
          <w:rFonts w:ascii="Times New Roman" w:hAnsi="Times New Roman"/>
          <w:sz w:val="28"/>
        </w:rPr>
        <w:t xml:space="preserve">секретаря решением </w:t>
      </w:r>
      <w:r>
        <w:rPr>
          <w:rFonts w:ascii="Times New Roman" w:hAnsi="Times New Roman"/>
          <w:sz w:val="28"/>
        </w:rPr>
        <w:t>председателя Комиссии</w:t>
      </w:r>
      <w:r>
        <w:rPr>
          <w:rFonts w:ascii="Times New Roman" w:hAnsi="Times New Roman"/>
          <w:sz w:val="28"/>
        </w:rPr>
        <w:t>.</w:t>
      </w:r>
    </w:p>
    <w:p w14:paraId="24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4.4.2. Присутствие на заседании Комиссии лица, исполняющего обязанности члена Комиссии, обязательно. </w:t>
      </w:r>
    </w:p>
    <w:p w14:paraId="25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4.4.3.  Член Комиссии и лицо, исполняющее обязанности члена Комиссии, обладают равными правами при обсуждении рассматриваемых вопросов и принятии решений. </w:t>
      </w:r>
    </w:p>
    <w:p w14:paraId="26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4.4.4. В случае если член Комиссии не может лично участвовать в заседании Комиссии, а исполнение обязанностей по замещаемой этим членом должности не возложено в установленном порядке на иное должностное лицо, он обязан заблаговременно известить об этом председателя Комиссии.   </w:t>
      </w:r>
    </w:p>
    <w:p w14:paraId="27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Заседание Комиссии правомочно, если на нем присутствует не менее половины от состава Комиссии, имеющего право голоса</w:t>
      </w:r>
      <w:r>
        <w:rPr>
          <w:rFonts w:ascii="Times New Roman" w:hAnsi="Times New Roman"/>
          <w:sz w:val="28"/>
        </w:rPr>
        <w:t>, или лиц, исполняющих их обязанности</w:t>
      </w:r>
      <w:r>
        <w:rPr>
          <w:rFonts w:ascii="Times New Roman" w:hAnsi="Times New Roman"/>
          <w:sz w:val="28"/>
        </w:rPr>
        <w:t xml:space="preserve">. </w:t>
      </w:r>
    </w:p>
    <w:p w14:paraId="28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Председатель </w:t>
      </w:r>
      <w:r>
        <w:rPr>
          <w:rFonts w:ascii="Times New Roman" w:hAnsi="Times New Roman"/>
          <w:sz w:val="28"/>
        </w:rPr>
        <w:t xml:space="preserve">осуществляет общее руководство </w:t>
      </w:r>
      <w:r>
        <w:rPr>
          <w:rFonts w:ascii="Times New Roman" w:hAnsi="Times New Roman"/>
          <w:sz w:val="28"/>
        </w:rPr>
        <w:t>деятельностью</w:t>
      </w:r>
      <w:r>
        <w:rPr>
          <w:rFonts w:ascii="Times New Roman" w:hAnsi="Times New Roman"/>
          <w:sz w:val="28"/>
        </w:rPr>
        <w:t xml:space="preserve"> Комиссии</w:t>
      </w:r>
      <w:r>
        <w:rPr>
          <w:rFonts w:ascii="Times New Roman" w:hAnsi="Times New Roman"/>
          <w:sz w:val="28"/>
        </w:rPr>
        <w:t>, определяет дату, время, место проведения, утверждает повестку дня, созывает и ведет заседания Комиссии, планирует работу Комиссии, контролирует исполнение решений Комиссии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подписывает решение и протокол</w:t>
      </w:r>
      <w:r>
        <w:rPr>
          <w:rFonts w:ascii="Times New Roman" w:hAnsi="Times New Roman"/>
          <w:sz w:val="28"/>
        </w:rPr>
        <w:t xml:space="preserve"> Комиссии</w:t>
      </w:r>
      <w:r>
        <w:rPr>
          <w:rFonts w:ascii="Times New Roman" w:hAnsi="Times New Roman"/>
          <w:sz w:val="28"/>
        </w:rPr>
        <w:t>.</w:t>
      </w:r>
    </w:p>
    <w:p w14:paraId="29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4.7.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Координацию работ по обеспечению деятельности Комиссии, о</w:t>
      </w:r>
      <w:r>
        <w:rPr>
          <w:rFonts w:ascii="Times New Roman" w:hAnsi="Times New Roman"/>
          <w:sz w:val="28"/>
        </w:rPr>
        <w:t xml:space="preserve">рганизационное и документационное обеспечение деятельности Комиссии осуществляет секретарь </w:t>
      </w:r>
      <w:r>
        <w:rPr>
          <w:rFonts w:ascii="Times New Roman" w:hAnsi="Times New Roman"/>
          <w:sz w:val="28"/>
        </w:rPr>
        <w:t>Комиссии,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который:</w:t>
      </w:r>
    </w:p>
    <w:p w14:paraId="2A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прием поступивших </w:t>
      </w:r>
      <w:r>
        <w:rPr>
          <w:rFonts w:ascii="Times New Roman" w:hAnsi="Times New Roman"/>
          <w:sz w:val="28"/>
        </w:rPr>
        <w:t>документ</w:t>
      </w:r>
      <w:r>
        <w:rPr>
          <w:rFonts w:ascii="Times New Roman" w:hAnsi="Times New Roman"/>
          <w:sz w:val="28"/>
        </w:rPr>
        <w:t>ов в соответствии с требованиями Порядка;</w:t>
      </w:r>
    </w:p>
    <w:p w14:paraId="2B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позднее </w:t>
      </w:r>
      <w:r>
        <w:rPr>
          <w:rFonts w:ascii="Times New Roman" w:hAnsi="Times New Roman"/>
          <w:sz w:val="28"/>
        </w:rPr>
        <w:t>следующ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дн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после получения документов </w:t>
      </w:r>
      <w:r>
        <w:rPr>
          <w:rFonts w:ascii="Times New Roman" w:hAnsi="Times New Roman"/>
          <w:sz w:val="28"/>
        </w:rPr>
        <w:t xml:space="preserve">направляет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председателю Комиссии, </w:t>
      </w:r>
      <w:r>
        <w:rPr>
          <w:rFonts w:ascii="Times New Roman" w:hAnsi="Times New Roman"/>
          <w:sz w:val="28"/>
        </w:rPr>
        <w:t>заместителям председателя Комиссии и членам Комиссии</w:t>
      </w:r>
      <w:r>
        <w:rPr>
          <w:rFonts w:ascii="Times New Roman" w:hAnsi="Times New Roman"/>
          <w:sz w:val="28"/>
        </w:rPr>
        <w:t>;</w:t>
      </w:r>
    </w:p>
    <w:p w14:paraId="2C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мере готовности материалов по поступившим заявлениям извещает об этом председателя Комиссии;</w:t>
      </w:r>
    </w:p>
    <w:p w14:paraId="2D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формирует повестку дня заседания Комиссии;</w:t>
      </w:r>
    </w:p>
    <w:p w14:paraId="2E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позднее, чем за два дня до заседания Комиссии (за исключением случаев, когда необходимо принятие срочного решения) извещает членов Комиссии о </w:t>
      </w:r>
      <w:r>
        <w:rPr>
          <w:rFonts w:ascii="Times New Roman" w:hAnsi="Times New Roman"/>
          <w:sz w:val="28"/>
        </w:rPr>
        <w:t xml:space="preserve">повестке дня заседания Комиссии, </w:t>
      </w:r>
      <w:r>
        <w:rPr>
          <w:rFonts w:ascii="Times New Roman" w:hAnsi="Times New Roman"/>
          <w:sz w:val="28"/>
        </w:rPr>
        <w:t>дате, месте и времени проведения заседания Комиссии, которые определяются председателем Комиссии</w:t>
      </w:r>
      <w:r>
        <w:rPr>
          <w:rFonts w:ascii="Times New Roman" w:hAnsi="Times New Roman"/>
          <w:sz w:val="28"/>
        </w:rPr>
        <w:t>;</w:t>
      </w:r>
    </w:p>
    <w:p w14:paraId="2F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направляет запросы на представление материалов и документов, необходимых для работы Комиссии, Предприятиям, Учреждениям и структурным подразделениям администрации города Байконур</w:t>
      </w:r>
      <w:r>
        <w:rPr>
          <w:rFonts w:ascii="Times New Roman" w:hAnsi="Times New Roman"/>
          <w:sz w:val="28"/>
        </w:rPr>
        <w:t>;</w:t>
      </w:r>
      <w:r>
        <w:rPr>
          <w:rFonts w:ascii="Times New Roman" w:hAnsi="Times New Roman"/>
          <w:sz w:val="28"/>
        </w:rPr>
        <w:t xml:space="preserve"> </w:t>
      </w:r>
    </w:p>
    <w:p w14:paraId="30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осуществляет </w:t>
      </w:r>
      <w:r>
        <w:rPr>
          <w:rFonts w:ascii="Times New Roman" w:hAnsi="Times New Roman"/>
          <w:sz w:val="28"/>
        </w:rPr>
        <w:t>подготовку необходимых документов и материало</w:t>
      </w:r>
      <w:r>
        <w:rPr>
          <w:rFonts w:ascii="Times New Roman" w:hAnsi="Times New Roman"/>
          <w:sz w:val="28"/>
        </w:rPr>
        <w:t xml:space="preserve">в, оформление решений Комиссии </w:t>
      </w:r>
      <w:r>
        <w:rPr>
          <w:rFonts w:ascii="Times New Roman" w:hAnsi="Times New Roman"/>
          <w:sz w:val="28"/>
        </w:rPr>
        <w:t xml:space="preserve">в виде протоколов </w:t>
      </w:r>
      <w:r>
        <w:rPr>
          <w:rFonts w:ascii="Times New Roman" w:hAnsi="Times New Roman"/>
          <w:sz w:val="28"/>
        </w:rPr>
        <w:t>заседания Комиссии.</w:t>
      </w:r>
    </w:p>
    <w:p w14:paraId="31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Заседание Комиссии проводится в течение десяти дней со дня поступления заявлений.</w:t>
      </w:r>
    </w:p>
    <w:p w14:paraId="32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данный срок не включается время представления дополнительных материалов и (или) разъяснений, истребуемых Комиссией согласно пункту 3.1 настоящего Положения.</w:t>
      </w:r>
      <w:r>
        <w:rPr>
          <w:rFonts w:ascii="Times New Roman" w:hAnsi="Times New Roman"/>
          <w:sz w:val="28"/>
        </w:rPr>
        <w:t xml:space="preserve"> </w:t>
      </w:r>
    </w:p>
    <w:p w14:paraId="33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4.9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заседании Комиссии </w:t>
      </w:r>
      <w:r>
        <w:rPr>
          <w:rFonts w:ascii="Times New Roman" w:hAnsi="Times New Roman"/>
          <w:sz w:val="28"/>
        </w:rPr>
        <w:t>обсуждение по каждому вопросу повестки дня проводится отдельно.</w:t>
      </w:r>
      <w:r>
        <w:rPr>
          <w:rFonts w:ascii="Times New Roman" w:hAnsi="Times New Roman"/>
          <w:sz w:val="28"/>
        </w:rPr>
        <w:t xml:space="preserve"> После обсуждения представленных документов по каждому заявлению проводится открытое голосование, результаты которого фиксируются в протоколе заседания Комиссии. </w:t>
      </w:r>
    </w:p>
    <w:p w14:paraId="34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</w:t>
      </w:r>
      <w:r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. Решения принимаются простым большинством голосов и оформляются протоколом заседания Комиссии. </w:t>
      </w:r>
      <w:r>
        <w:rPr>
          <w:rFonts w:ascii="Times New Roman" w:hAnsi="Times New Roman"/>
          <w:sz w:val="28"/>
        </w:rPr>
        <w:t xml:space="preserve">При равном количестве голосов председатель Комиссии имеет право решающего голоса. </w:t>
      </w:r>
    </w:p>
    <w:p w14:paraId="35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Особое мнение члена Комиссии, проголосовавшего за решение, отличное от принятого Комиссией решения, в обязательном порядке отражается в протоколе заседания Комиссии.</w:t>
      </w:r>
    </w:p>
    <w:p w14:paraId="36000000">
      <w:pPr>
        <w:spacing w:after="0"/>
        <w:ind w:firstLine="709" w:left="0"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sz w:val="28"/>
        </w:rPr>
        <w:t>4.1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Протокол подписывается председателем Комиссии и всеми членами Комиссии, п</w:t>
      </w:r>
      <w:r>
        <w:rPr>
          <w:rFonts w:ascii="Times New Roman" w:hAnsi="Times New Roman"/>
          <w:sz w:val="28"/>
        </w:rPr>
        <w:t>ринимавшими участие в заседании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37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38000000">
      <w:pPr>
        <w:spacing w:after="0"/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</w:t>
      </w:r>
    </w:p>
    <w:p w14:paraId="39000000">
      <w:pPr>
        <w:spacing w:after="0"/>
        <w:ind w:firstLine="709" w:left="0"/>
        <w:jc w:val="both"/>
        <w:rPr>
          <w:rFonts w:ascii="Times New Roman" w:hAnsi="Times New Roman"/>
          <w:sz w:val="28"/>
        </w:rPr>
      </w:pPr>
    </w:p>
    <w:p w14:paraId="3A000000">
      <w:pPr>
        <w:spacing w:after="0"/>
        <w:ind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851" w:footer="709" w:gutter="0" w:header="709" w:left="1531" w:right="709" w:top="567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  <w:ind/>
      <w:jc w:val="center"/>
      <w:rPr>
        <w:rFonts w:ascii="Times New Roman" w:hAnsi="Times New Roman"/>
        <w:color w:val="FFFFFF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footer"/>
    <w:basedOn w:val="Style_2"/>
    <w:link w:val="Style_8_ch"/>
    <w:pPr>
      <w:tabs>
        <w:tab w:leader="none" w:pos="4677" w:val="center"/>
        <w:tab w:leader="none" w:pos="9355" w:val="right"/>
      </w:tabs>
      <w:ind/>
    </w:pPr>
  </w:style>
  <w:style w:styleId="Style_8_ch" w:type="character">
    <w:name w:val="footer"/>
    <w:basedOn w:val="Style_2_ch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Balloon Text"/>
    <w:basedOn w:val="Style_2"/>
    <w:link w:val="Style_12_ch"/>
    <w:pPr>
      <w:spacing w:after="0" w:line="240" w:lineRule="auto"/>
      <w:ind/>
    </w:pPr>
    <w:rPr>
      <w:rFonts w:ascii="Tahoma" w:hAnsi="Tahoma"/>
      <w:sz w:val="16"/>
    </w:rPr>
  </w:style>
  <w:style w:styleId="Style_12_ch" w:type="character">
    <w:name w:val="Balloon Text"/>
    <w:basedOn w:val="Style_2_ch"/>
    <w:link w:val="Style_12"/>
    <w:rPr>
      <w:rFonts w:ascii="Tahoma" w:hAnsi="Tahoma"/>
      <w:sz w:val="16"/>
    </w:rPr>
  </w:style>
  <w:style w:styleId="Style_13" w:type="paragraph">
    <w:name w:val="heading 1"/>
    <w:basedOn w:val="Style_2"/>
    <w:next w:val="Style_2"/>
    <w:link w:val="Style_13_ch"/>
    <w:uiPriority w:val="9"/>
    <w:qFormat/>
    <w:pPr>
      <w:keepNext w:val="1"/>
      <w:spacing w:after="0" w:line="240" w:lineRule="auto"/>
      <w:ind/>
      <w:jc w:val="center"/>
      <w:outlineLvl w:val="0"/>
    </w:pPr>
    <w:rPr>
      <w:rFonts w:ascii="Baltica" w:hAnsi="Baltica"/>
      <w:b w:val="1"/>
      <w:sz w:val="40"/>
    </w:rPr>
  </w:style>
  <w:style w:styleId="Style_13_ch" w:type="character">
    <w:name w:val="heading 1"/>
    <w:basedOn w:val="Style_2_ch"/>
    <w:link w:val="Style_13"/>
    <w:rPr>
      <w:rFonts w:ascii="Baltica" w:hAnsi="Baltica"/>
      <w:b w:val="1"/>
      <w:sz w:val="40"/>
    </w:rPr>
  </w:style>
  <w:style w:styleId="Style_14" w:type="paragraph">
    <w:name w:val="FollowedHyperlink"/>
    <w:link w:val="Style_14_ch"/>
    <w:rPr>
      <w:color w:val="800080"/>
      <w:u w:val="single"/>
    </w:rPr>
  </w:style>
  <w:style w:styleId="Style_14_ch" w:type="character">
    <w:name w:val="FollowedHyperlink"/>
    <w:link w:val="Style_14"/>
    <w:rPr>
      <w:color w:val="800080"/>
      <w:u w:val="single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Body Text 2"/>
    <w:basedOn w:val="Style_2"/>
    <w:link w:val="Style_17_ch"/>
    <w:pPr>
      <w:spacing w:after="120" w:line="480" w:lineRule="auto"/>
      <w:ind/>
    </w:pPr>
    <w:rPr>
      <w:rFonts w:ascii="Times New Roman" w:hAnsi="Times New Roman"/>
      <w:sz w:val="20"/>
    </w:rPr>
  </w:style>
  <w:style w:styleId="Style_17_ch" w:type="character">
    <w:name w:val="Body Text 2"/>
    <w:basedOn w:val="Style_2_ch"/>
    <w:link w:val="Style_17"/>
    <w:rPr>
      <w:rFonts w:ascii="Times New Roman" w:hAnsi="Times New Roman"/>
      <w:sz w:val="20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apple-converted-space"/>
    <w:link w:val="Style_20_ch"/>
  </w:style>
  <w:style w:styleId="Style_20_ch" w:type="character">
    <w:name w:val="apple-converted-space"/>
    <w:link w:val="Style_20"/>
  </w:style>
  <w:style w:styleId="Style_21" w:type="paragraph">
    <w:name w:val="toc 9"/>
    <w:next w:val="Style_2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line number"/>
    <w:basedOn w:val="Style_10"/>
    <w:link w:val="Style_22_ch"/>
  </w:style>
  <w:style w:styleId="Style_22_ch" w:type="character">
    <w:name w:val="line number"/>
    <w:basedOn w:val="Style_10_ch"/>
    <w:link w:val="Style_22"/>
  </w:style>
  <w:style w:styleId="Style_23" w:type="paragraph">
    <w:name w:val="List Paragraph"/>
    <w:basedOn w:val="Style_2"/>
    <w:link w:val="Style_23_ch"/>
    <w:pPr>
      <w:spacing w:after="0" w:line="240" w:lineRule="auto"/>
      <w:ind w:firstLine="0" w:left="720"/>
      <w:contextualSpacing w:val="1"/>
    </w:pPr>
    <w:rPr>
      <w:rFonts w:ascii="Times New Roman" w:hAnsi="Times New Roman"/>
      <w:sz w:val="20"/>
    </w:rPr>
  </w:style>
  <w:style w:styleId="Style_23_ch" w:type="character">
    <w:name w:val="List Paragraph"/>
    <w:basedOn w:val="Style_2_ch"/>
    <w:link w:val="Style_23"/>
    <w:rPr>
      <w:rFonts w:ascii="Times New Roman" w:hAnsi="Times New Roman"/>
      <w:sz w:val="20"/>
    </w:rPr>
  </w:style>
  <w:style w:styleId="Style_24" w:type="paragraph">
    <w:name w:val="toc 8"/>
    <w:next w:val="Style_2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s1"/>
    <w:link w:val="Style_25_ch"/>
    <w:rPr>
      <w:rFonts w:ascii="Times New Roman" w:hAnsi="Times New Roman"/>
      <w:b w:val="1"/>
      <w:color w:val="000000"/>
    </w:rPr>
  </w:style>
  <w:style w:styleId="Style_25_ch" w:type="character">
    <w:name w:val="s1"/>
    <w:link w:val="Style_25"/>
    <w:rPr>
      <w:rFonts w:ascii="Times New Roman" w:hAnsi="Times New Roman"/>
      <w:b w:val="1"/>
      <w:color w:val="000000"/>
    </w:rPr>
  </w:style>
  <w:style w:styleId="Style_26" w:type="paragraph">
    <w:name w:val="toc 5"/>
    <w:next w:val="Style_2"/>
    <w:link w:val="Style_2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2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2"/>
    <w:link w:val="Style_2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2"/>
    <w:link w:val="Style_2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2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default="1" w:styleId="Style_3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numbering.xml" Type="http://schemas.openxmlformats.org/officeDocument/2006/relationships/numbering"/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2024-07-17T07:05:54Z</dcterms:modified>
</cp:coreProperties>
</file>